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901" w:rsidRPr="00BB100B" w:rsidRDefault="00A86901" w:rsidP="00BB100B">
      <w:pPr>
        <w:pStyle w:val="Titre1"/>
        <w:jc w:val="center"/>
        <w:rPr>
          <w:b/>
          <w:bCs/>
          <w:sz w:val="36"/>
          <w:szCs w:val="36"/>
        </w:rPr>
      </w:pPr>
    </w:p>
    <w:p w:rsidR="00A86901" w:rsidRPr="00BB100B" w:rsidRDefault="00A86901" w:rsidP="00BB100B">
      <w:pPr>
        <w:pStyle w:val="Titre1"/>
        <w:jc w:val="center"/>
        <w:rPr>
          <w:b/>
          <w:bCs/>
          <w:sz w:val="36"/>
          <w:szCs w:val="36"/>
        </w:rPr>
      </w:pPr>
      <w:r w:rsidRPr="00BB100B">
        <w:rPr>
          <w:b/>
          <w:bCs/>
          <w:sz w:val="36"/>
          <w:szCs w:val="36"/>
        </w:rPr>
        <w:t>COMMUNIQUE DE PRESSE</w:t>
      </w:r>
    </w:p>
    <w:p w:rsidR="00BB100B" w:rsidRDefault="00BB100B" w:rsidP="00BB100B">
      <w:pPr>
        <w:pStyle w:val="Titre1"/>
        <w:jc w:val="center"/>
        <w:rPr>
          <w:b/>
          <w:bCs/>
          <w:sz w:val="36"/>
          <w:szCs w:val="36"/>
        </w:rPr>
      </w:pPr>
    </w:p>
    <w:p w:rsidR="00A86901" w:rsidRPr="00BB100B" w:rsidRDefault="00A86901" w:rsidP="00BB100B">
      <w:pPr>
        <w:pStyle w:val="Titre1"/>
        <w:jc w:val="center"/>
        <w:rPr>
          <w:b/>
          <w:bCs/>
          <w:sz w:val="36"/>
          <w:szCs w:val="36"/>
        </w:rPr>
      </w:pPr>
      <w:r w:rsidRPr="00BB100B">
        <w:rPr>
          <w:b/>
          <w:bCs/>
          <w:sz w:val="36"/>
          <w:szCs w:val="36"/>
        </w:rPr>
        <w:t>Signature d’un contrat de collaboration et de recherche scientifique et technique entre la NARSA et l’Université Mohammed VI Polytechnique</w:t>
      </w:r>
    </w:p>
    <w:p w:rsidR="00A86901" w:rsidRPr="00BB100B" w:rsidRDefault="00A86901" w:rsidP="00BB100B">
      <w:pPr>
        <w:spacing w:before="240" w:after="240" w:line="276" w:lineRule="auto"/>
        <w:jc w:val="both"/>
        <w:rPr>
          <w:rFonts w:asciiTheme="majorBidi" w:hAnsiTheme="majorBidi" w:cstheme="majorBidi"/>
          <w:sz w:val="28"/>
          <w:szCs w:val="28"/>
        </w:rPr>
      </w:pPr>
      <w:r w:rsidRPr="00BB100B">
        <w:rPr>
          <w:rFonts w:asciiTheme="majorBidi" w:hAnsiTheme="majorBidi" w:cstheme="majorBidi"/>
          <w:sz w:val="28"/>
          <w:szCs w:val="28"/>
        </w:rPr>
        <w:t xml:space="preserve">Dans le cadre de la mise en œuvre du programme d’action de l’Agence Nationale de la Sécurité Routière (NARSA) au titre de la période 2020-2022, notamment les axes stratégiques relatifs à l’ouverture sur les nouvelles technologies, à l’encouragement de la recherche scientifique et au développement de l’expertise, un contrat de collaboration et de recherche scientifique et technique a été conclu, le jeudi 17 juin 2021 à Rabat, entre la NARSA et l’Université Mohammed VI Polytechnique de </w:t>
      </w:r>
      <w:proofErr w:type="spellStart"/>
      <w:r w:rsidRPr="00BB100B">
        <w:rPr>
          <w:rFonts w:asciiTheme="majorBidi" w:hAnsiTheme="majorBidi" w:cstheme="majorBidi"/>
          <w:sz w:val="28"/>
          <w:szCs w:val="28"/>
        </w:rPr>
        <w:t>Benguerir</w:t>
      </w:r>
      <w:proofErr w:type="spellEnd"/>
      <w:r w:rsidRPr="00BB100B">
        <w:rPr>
          <w:rFonts w:asciiTheme="majorBidi" w:hAnsiTheme="majorBidi" w:cstheme="majorBidi"/>
          <w:sz w:val="28"/>
          <w:szCs w:val="28"/>
        </w:rPr>
        <w:t xml:space="preserve"> pour la digitalisation des épreuves pratiques pour l’obtention des permis de conduire.</w:t>
      </w:r>
    </w:p>
    <w:p w:rsidR="00A86901" w:rsidRPr="00BB100B" w:rsidRDefault="00A86901" w:rsidP="004A1DBC">
      <w:pPr>
        <w:spacing w:before="240" w:after="240" w:line="276" w:lineRule="auto"/>
        <w:jc w:val="both"/>
        <w:rPr>
          <w:rFonts w:asciiTheme="majorBidi" w:hAnsiTheme="majorBidi" w:cstheme="majorBidi"/>
          <w:sz w:val="28"/>
          <w:szCs w:val="28"/>
        </w:rPr>
      </w:pPr>
      <w:r w:rsidRPr="00BB100B">
        <w:rPr>
          <w:rFonts w:asciiTheme="majorBidi" w:hAnsiTheme="majorBidi" w:cstheme="majorBidi"/>
          <w:sz w:val="28"/>
          <w:szCs w:val="28"/>
        </w:rPr>
        <w:t xml:space="preserve">Cet accord vise principalement à garantir une évaluation objective, transparente et équitable de l’acquisition des connaissances et des compétences par </w:t>
      </w:r>
      <w:r w:rsidR="004A1DBC">
        <w:rPr>
          <w:rFonts w:asciiTheme="majorBidi" w:hAnsiTheme="majorBidi" w:cstheme="majorBidi"/>
          <w:sz w:val="28"/>
          <w:szCs w:val="28"/>
        </w:rPr>
        <w:t xml:space="preserve">les </w:t>
      </w:r>
      <w:r w:rsidR="004A1DBC" w:rsidRPr="00BB100B">
        <w:rPr>
          <w:rFonts w:asciiTheme="majorBidi" w:hAnsiTheme="majorBidi" w:cstheme="majorBidi"/>
          <w:sz w:val="28"/>
          <w:szCs w:val="28"/>
        </w:rPr>
        <w:t>candidats à l’examen pratique du permis de conduire.</w:t>
      </w:r>
      <w:r w:rsidR="004A1DBC">
        <w:rPr>
          <w:rFonts w:asciiTheme="majorBidi" w:hAnsiTheme="majorBidi" w:cstheme="majorBidi"/>
          <w:sz w:val="28"/>
          <w:szCs w:val="28"/>
        </w:rPr>
        <w:t xml:space="preserve"> </w:t>
      </w:r>
      <w:r w:rsidRPr="00BB100B">
        <w:rPr>
          <w:rFonts w:asciiTheme="majorBidi" w:hAnsiTheme="majorBidi" w:cstheme="majorBidi"/>
          <w:sz w:val="28"/>
          <w:szCs w:val="28"/>
        </w:rPr>
        <w:t xml:space="preserve">L’objectif étant, en outre, de crédibiliser davantage l’obtention du permis de conduire et d’assurer un processus de traçabilité et de transparence dans l’évaluation des </w:t>
      </w:r>
      <w:r w:rsidR="004A1DBC">
        <w:rPr>
          <w:rFonts w:asciiTheme="majorBidi" w:hAnsiTheme="majorBidi" w:cstheme="majorBidi"/>
          <w:sz w:val="28"/>
          <w:szCs w:val="28"/>
        </w:rPr>
        <w:t xml:space="preserve">candidats </w:t>
      </w:r>
      <w:r w:rsidR="004A1DBC" w:rsidRPr="00BB100B">
        <w:rPr>
          <w:rFonts w:asciiTheme="majorBidi" w:hAnsiTheme="majorBidi" w:cstheme="majorBidi"/>
          <w:sz w:val="28"/>
          <w:szCs w:val="28"/>
        </w:rPr>
        <w:t xml:space="preserve">à </w:t>
      </w:r>
      <w:r w:rsidR="004A1DBC">
        <w:rPr>
          <w:rFonts w:asciiTheme="majorBidi" w:hAnsiTheme="majorBidi" w:cstheme="majorBidi"/>
          <w:sz w:val="28"/>
          <w:szCs w:val="28"/>
        </w:rPr>
        <w:t xml:space="preserve">cet </w:t>
      </w:r>
      <w:r w:rsidR="004A1DBC" w:rsidRPr="00BB100B">
        <w:rPr>
          <w:rFonts w:asciiTheme="majorBidi" w:hAnsiTheme="majorBidi" w:cstheme="majorBidi"/>
          <w:sz w:val="28"/>
          <w:szCs w:val="28"/>
        </w:rPr>
        <w:t>examen pratique du permis de conduire.</w:t>
      </w:r>
    </w:p>
    <w:p w:rsidR="00A86901" w:rsidRPr="00BB100B" w:rsidRDefault="00A86901" w:rsidP="00BB100B">
      <w:pPr>
        <w:spacing w:before="240" w:after="240" w:line="276" w:lineRule="auto"/>
        <w:jc w:val="both"/>
        <w:rPr>
          <w:rFonts w:asciiTheme="majorBidi" w:hAnsiTheme="majorBidi" w:cstheme="majorBidi"/>
          <w:sz w:val="28"/>
          <w:szCs w:val="28"/>
        </w:rPr>
      </w:pPr>
      <w:r w:rsidRPr="00BB100B">
        <w:rPr>
          <w:rFonts w:asciiTheme="majorBidi" w:hAnsiTheme="majorBidi" w:cstheme="majorBidi"/>
          <w:sz w:val="28"/>
          <w:szCs w:val="28"/>
        </w:rPr>
        <w:t xml:space="preserve">Par ailleurs, la mise en œuvre de ce partenariat sera étalée sur cinq étapes complémentaires allant de la phase d’études, de conception et de réalisation jusqu’au développement et tests de l’ensemble du dispositif technique. </w:t>
      </w:r>
    </w:p>
    <w:p w:rsidR="00A86901" w:rsidRPr="00BB100B" w:rsidRDefault="00A86901" w:rsidP="00BB100B">
      <w:pPr>
        <w:spacing w:before="240" w:after="240" w:line="276" w:lineRule="auto"/>
        <w:jc w:val="both"/>
        <w:rPr>
          <w:rFonts w:asciiTheme="majorBidi" w:hAnsiTheme="majorBidi" w:cstheme="majorBidi"/>
          <w:sz w:val="28"/>
          <w:szCs w:val="28"/>
        </w:rPr>
      </w:pPr>
      <w:r w:rsidRPr="00BB100B">
        <w:rPr>
          <w:rFonts w:asciiTheme="majorBidi" w:hAnsiTheme="majorBidi" w:cstheme="majorBidi"/>
          <w:sz w:val="28"/>
          <w:szCs w:val="28"/>
        </w:rPr>
        <w:t xml:space="preserve">Pour ce faire, une collaboration scientifique et technique entre les deux parties permettra de créer un kit de digitalisation intégré aux véhicules d’examen </w:t>
      </w:r>
      <w:r w:rsidR="00BB100B">
        <w:rPr>
          <w:rFonts w:asciiTheme="majorBidi" w:hAnsiTheme="majorBidi" w:cstheme="majorBidi"/>
          <w:sz w:val="28"/>
          <w:szCs w:val="28"/>
        </w:rPr>
        <w:t xml:space="preserve">à même d’évaluer objectivement les </w:t>
      </w:r>
      <w:r w:rsidRPr="00BB100B">
        <w:rPr>
          <w:rFonts w:asciiTheme="majorBidi" w:hAnsiTheme="majorBidi" w:cstheme="majorBidi"/>
          <w:sz w:val="28"/>
          <w:szCs w:val="28"/>
        </w:rPr>
        <w:t>performances des candidats au permis de conduire dans des co</w:t>
      </w:r>
      <w:r w:rsidR="00BB100B">
        <w:rPr>
          <w:rFonts w:asciiTheme="majorBidi" w:hAnsiTheme="majorBidi" w:cstheme="majorBidi"/>
          <w:sz w:val="28"/>
          <w:szCs w:val="28"/>
        </w:rPr>
        <w:t>nditions réelles de conduite.</w:t>
      </w:r>
    </w:p>
    <w:p w:rsidR="00A86901" w:rsidRPr="00BB100B" w:rsidRDefault="00A86901" w:rsidP="00BB100B">
      <w:pPr>
        <w:spacing w:before="240" w:after="240" w:line="276" w:lineRule="auto"/>
        <w:jc w:val="both"/>
        <w:rPr>
          <w:rFonts w:asciiTheme="majorBidi" w:hAnsiTheme="majorBidi" w:cstheme="majorBidi"/>
          <w:sz w:val="28"/>
          <w:szCs w:val="28"/>
        </w:rPr>
      </w:pPr>
      <w:r w:rsidRPr="00BB100B">
        <w:rPr>
          <w:rFonts w:asciiTheme="majorBidi" w:hAnsiTheme="majorBidi" w:cstheme="majorBidi"/>
          <w:sz w:val="28"/>
          <w:szCs w:val="28"/>
        </w:rPr>
        <w:t>Cette collaboration constitue un tournant majeur dans le processus de réforme et de mise à niveau du secteur d’enseignement de la conduite notamment les examens pratiques pour l’obtention du permis de conduire et traduit parfaitement les valeurs portées par la NARSA en termes de modern</w:t>
      </w:r>
      <w:r w:rsidR="00B26C16">
        <w:rPr>
          <w:rFonts w:asciiTheme="majorBidi" w:hAnsiTheme="majorBidi" w:cstheme="majorBidi"/>
          <w:sz w:val="28"/>
          <w:szCs w:val="28"/>
        </w:rPr>
        <w:t>isation, de digitalisation et de contribution à l’</w:t>
      </w:r>
      <w:r w:rsidRPr="00BB100B">
        <w:rPr>
          <w:rFonts w:asciiTheme="majorBidi" w:hAnsiTheme="majorBidi" w:cstheme="majorBidi"/>
          <w:sz w:val="28"/>
          <w:szCs w:val="28"/>
        </w:rPr>
        <w:t>amélioration de la qualité des services rendus aux usagers et des conditions de sécurité routière dans notre pays.</w:t>
      </w:r>
    </w:p>
    <w:p w:rsidR="00A86901" w:rsidRPr="00BB100B" w:rsidRDefault="00A86901" w:rsidP="00BB100B">
      <w:pPr>
        <w:spacing w:before="240" w:after="240" w:line="276" w:lineRule="auto"/>
        <w:jc w:val="both"/>
        <w:rPr>
          <w:rFonts w:asciiTheme="majorBidi" w:hAnsiTheme="majorBidi" w:cstheme="majorBidi"/>
          <w:sz w:val="28"/>
          <w:szCs w:val="28"/>
        </w:rPr>
      </w:pPr>
    </w:p>
    <w:p w:rsidR="0098088A" w:rsidRPr="00BB100B" w:rsidRDefault="0098088A" w:rsidP="00BB100B">
      <w:pPr>
        <w:spacing w:before="240" w:after="240" w:line="276" w:lineRule="auto"/>
        <w:jc w:val="both"/>
        <w:rPr>
          <w:rFonts w:asciiTheme="majorBidi" w:hAnsiTheme="majorBidi" w:cstheme="majorBidi"/>
          <w:sz w:val="28"/>
          <w:szCs w:val="28"/>
        </w:rPr>
      </w:pPr>
    </w:p>
    <w:sectPr w:rsidR="0098088A" w:rsidRPr="00BB100B" w:rsidSect="00DE12F4">
      <w:headerReference w:type="default" r:id="rId6"/>
      <w:footerReference w:type="default" r:id="rId7"/>
      <w:pgSz w:w="11906" w:h="16838"/>
      <w:pgMar w:top="284" w:right="991" w:bottom="1417" w:left="993" w:header="279"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6911" w:rsidRDefault="00906911">
      <w:pPr>
        <w:spacing w:after="0" w:line="240" w:lineRule="auto"/>
      </w:pPr>
      <w:r>
        <w:separator/>
      </w:r>
    </w:p>
  </w:endnote>
  <w:endnote w:type="continuationSeparator" w:id="0">
    <w:p w:rsidR="00906911" w:rsidRDefault="0090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A94" w:rsidRPr="000E7F74" w:rsidRDefault="00BB100B" w:rsidP="00DE12F4">
    <w:pPr>
      <w:pStyle w:val="Pieddepage"/>
      <w:tabs>
        <w:tab w:val="clear" w:pos="4536"/>
        <w:tab w:val="clear" w:pos="9072"/>
        <w:tab w:val="center" w:pos="4820"/>
        <w:tab w:val="right" w:pos="9356"/>
      </w:tabs>
      <w:ind w:right="-1"/>
      <w:jc w:val="center"/>
      <w:rPr>
        <w:sz w:val="20"/>
        <w:szCs w:val="20"/>
      </w:rPr>
    </w:pPr>
    <w:bookmarkStart w:id="0" w:name="_Hlk57111421"/>
    <w:r>
      <w:rPr>
        <w:noProof/>
        <w:lang w:eastAsia="fr-FR"/>
      </w:rPr>
      <w:drawing>
        <wp:anchor distT="0" distB="0" distL="114300" distR="114300" simplePos="0" relativeHeight="251660288" behindDoc="1" locked="0" layoutInCell="1" allowOverlap="1" wp14:anchorId="1D74F714" wp14:editId="2B378C9D">
          <wp:simplePos x="0" y="0"/>
          <wp:positionH relativeFrom="column">
            <wp:posOffset>-38100</wp:posOffset>
          </wp:positionH>
          <wp:positionV relativeFrom="paragraph">
            <wp:posOffset>13970</wp:posOffset>
          </wp:positionV>
          <wp:extent cx="1171575" cy="476250"/>
          <wp:effectExtent l="0" t="0" r="9525" b="0"/>
          <wp:wrapNone/>
          <wp:docPr id="26" name="Image 2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D20">
      <w:rPr>
        <w:noProof/>
        <w:lang w:eastAsia="fr-FR"/>
      </w:rPr>
      <mc:AlternateContent>
        <mc:Choice Requires="wps">
          <w:drawing>
            <wp:anchor distT="0" distB="0" distL="114300" distR="114300" simplePos="0" relativeHeight="251659264" behindDoc="0" locked="0" layoutInCell="1" allowOverlap="1" wp14:anchorId="0D1A2E6B" wp14:editId="40736802">
              <wp:simplePos x="0" y="0"/>
              <wp:positionH relativeFrom="column">
                <wp:posOffset>-57150</wp:posOffset>
              </wp:positionH>
              <wp:positionV relativeFrom="paragraph">
                <wp:posOffset>-64770</wp:posOffset>
              </wp:positionV>
              <wp:extent cx="624840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9050">
                        <a:solidFill>
                          <a:srgbClr val="1F376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44C4C"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pt" to="4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" strokecolor="#1f3763" strokeweight="1.5pt">
              <v:stroke joinstyle="miter"/>
            </v:line>
          </w:pict>
        </mc:Fallback>
      </mc:AlternateContent>
    </w:r>
    <w:r w:rsidRPr="00F13E2D">
      <w:rPr>
        <w:b/>
        <w:bCs/>
        <w:color w:val="2E74B5"/>
        <w:sz w:val="18"/>
        <w:szCs w:val="18"/>
      </w:rPr>
      <w:t xml:space="preserve">Avenue Al </w:t>
    </w:r>
    <w:r w:rsidRPr="00F13E2D">
      <w:rPr>
        <w:b/>
        <w:bCs/>
        <w:color w:val="2E74B5"/>
        <w:sz w:val="18"/>
        <w:szCs w:val="18"/>
      </w:rPr>
      <w:t>Araâr, Hay Riad– Rabat</w:t>
    </w:r>
  </w:p>
  <w:p w:rsidR="003C7A94" w:rsidRPr="00F13E2D" w:rsidRDefault="00BB100B" w:rsidP="00DE12F4">
    <w:pPr>
      <w:tabs>
        <w:tab w:val="right" w:pos="9356"/>
      </w:tabs>
      <w:spacing w:after="0" w:line="240" w:lineRule="auto"/>
      <w:ind w:right="-1"/>
      <w:jc w:val="center"/>
      <w:rPr>
        <w:b/>
        <w:bCs/>
        <w:color w:val="2E74B5"/>
        <w:sz w:val="18"/>
        <w:szCs w:val="18"/>
      </w:rPr>
    </w:pPr>
    <w:r w:rsidRPr="00F13E2D">
      <w:rPr>
        <w:b/>
        <w:bCs/>
        <w:color w:val="2E74B5"/>
        <w:sz w:val="18"/>
        <w:szCs w:val="18"/>
      </w:rPr>
      <w:t>Tél. : +(212) 5 37 71 22 80/ 01   -   Fax : +(212) 5 37 71 69 53 / 71 20 13</w:t>
    </w:r>
  </w:p>
  <w:p w:rsidR="003C7A94" w:rsidRPr="00F13E2D" w:rsidRDefault="00BB100B" w:rsidP="00DE12F4">
    <w:pPr>
      <w:tabs>
        <w:tab w:val="right" w:pos="9356"/>
      </w:tabs>
      <w:spacing w:after="0" w:line="240" w:lineRule="auto"/>
      <w:ind w:right="-1"/>
      <w:jc w:val="center"/>
      <w:rPr>
        <w:b/>
        <w:bCs/>
        <w:color w:val="2E74B5"/>
        <w:sz w:val="18"/>
        <w:szCs w:val="18"/>
      </w:rPr>
    </w:pPr>
    <w:r w:rsidRPr="00F13E2D">
      <w:rPr>
        <w:b/>
        <w:bCs/>
        <w:color w:val="2E74B5"/>
        <w:sz w:val="18"/>
        <w:szCs w:val="18"/>
      </w:rPr>
      <w:t>contact@narsa.gov.ma</w:t>
    </w:r>
  </w:p>
  <w:p w:rsidR="003C7A94" w:rsidRPr="00F13E2D" w:rsidRDefault="00BB100B" w:rsidP="00DE12F4">
    <w:pPr>
      <w:tabs>
        <w:tab w:val="right" w:pos="9356"/>
      </w:tabs>
      <w:spacing w:after="0" w:line="240" w:lineRule="auto"/>
      <w:ind w:right="-1"/>
      <w:jc w:val="center"/>
      <w:rPr>
        <w:b/>
        <w:bCs/>
        <w:color w:val="2E74B5"/>
        <w:sz w:val="18"/>
        <w:szCs w:val="18"/>
        <w:u w:val="single"/>
      </w:rPr>
    </w:pPr>
    <w:r w:rsidRPr="00F13E2D">
      <w:rPr>
        <w:b/>
        <w:bCs/>
        <w:color w:val="2E74B5"/>
        <w:sz w:val="18"/>
        <w:szCs w:val="18"/>
        <w:u w:val="single"/>
      </w:rPr>
      <w:t>www.narsa.ma</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6911" w:rsidRDefault="00906911">
      <w:pPr>
        <w:spacing w:after="0" w:line="240" w:lineRule="auto"/>
      </w:pPr>
      <w:r>
        <w:separator/>
      </w:r>
    </w:p>
  </w:footnote>
  <w:footnote w:type="continuationSeparator" w:id="0">
    <w:p w:rsidR="00906911" w:rsidRDefault="0090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77"/>
      <w:gridCol w:w="4218"/>
    </w:tblGrid>
    <w:tr w:rsidR="00DE12F4" w:rsidTr="00DE12F4">
      <w:tc>
        <w:tcPr>
          <w:tcW w:w="4219" w:type="dxa"/>
        </w:tcPr>
        <w:p w:rsidR="00DE12F4" w:rsidRPr="00347725" w:rsidRDefault="00BB100B" w:rsidP="00DE12F4">
          <w:pPr>
            <w:spacing w:before="40" w:after="120"/>
            <w:jc w:val="center"/>
            <w:rPr>
              <w:rFonts w:ascii="Book Antiqua" w:hAnsi="Book Antiqua"/>
            </w:rPr>
          </w:pPr>
          <w:r w:rsidRPr="00347725">
            <w:rPr>
              <w:rFonts w:ascii="Book Antiqua" w:hAnsi="Book Antiqua"/>
              <w:b/>
              <w:bCs/>
              <w:u w:val="single"/>
            </w:rPr>
            <w:t>Royaume du Maroc</w:t>
          </w:r>
        </w:p>
      </w:tc>
      <w:tc>
        <w:tcPr>
          <w:tcW w:w="2477" w:type="dxa"/>
          <w:vMerge w:val="restart"/>
        </w:tcPr>
        <w:p w:rsidR="00DE12F4" w:rsidRPr="00347725" w:rsidRDefault="00BB100B" w:rsidP="00DE12F4">
          <w:pPr>
            <w:spacing w:before="40" w:after="120"/>
            <w:jc w:val="center"/>
            <w:rPr>
              <w:rFonts w:ascii="Book Antiqua" w:hAnsi="Book Antiqua"/>
            </w:rPr>
          </w:pPr>
          <w:r>
            <w:rPr>
              <w:noProof/>
              <w:lang w:eastAsia="fr-FR"/>
            </w:rPr>
            <w:drawing>
              <wp:anchor distT="0" distB="0" distL="114300" distR="114300" simplePos="0" relativeHeight="251661312" behindDoc="1" locked="0" layoutInCell="1" allowOverlap="1" wp14:anchorId="4693D4CD" wp14:editId="3057950A">
                <wp:simplePos x="0" y="0"/>
                <wp:positionH relativeFrom="column">
                  <wp:posOffset>363220</wp:posOffset>
                </wp:positionH>
                <wp:positionV relativeFrom="paragraph">
                  <wp:posOffset>42545</wp:posOffset>
                </wp:positionV>
                <wp:extent cx="718820" cy="737235"/>
                <wp:effectExtent l="0" t="0" r="5080" b="5715"/>
                <wp:wrapTight wrapText="bothSides">
                  <wp:wrapPolygon edited="0">
                    <wp:start x="0" y="0"/>
                    <wp:lineTo x="0" y="21209"/>
                    <wp:lineTo x="21180" y="21209"/>
                    <wp:lineTo x="21180" y="0"/>
                    <wp:lineTo x="0" y="0"/>
                  </wp:wrapPolygon>
                </wp:wrapTight>
                <wp:docPr id="25" name="Image 25"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7188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18" w:type="dxa"/>
        </w:tcPr>
        <w:p w:rsidR="00DE12F4" w:rsidRPr="00347725" w:rsidRDefault="00BB100B" w:rsidP="00DE12F4">
          <w:pPr>
            <w:spacing w:before="40" w:after="120"/>
            <w:jc w:val="center"/>
            <w:rPr>
              <w:rFonts w:ascii="Book Antiqua" w:hAnsi="Book Antiqua"/>
              <w:sz w:val="24"/>
              <w:szCs w:val="24"/>
            </w:rPr>
          </w:pPr>
          <w:r w:rsidRPr="00347725">
            <w:rPr>
              <w:rFonts w:ascii="Book Antiqua" w:hAnsi="Book Antiqua"/>
              <w:b/>
              <w:bCs/>
              <w:sz w:val="24"/>
              <w:szCs w:val="24"/>
              <w:u w:val="single"/>
              <w:rtl/>
            </w:rPr>
            <w:t>المملكة المغربية</w:t>
          </w:r>
        </w:p>
      </w:tc>
    </w:tr>
    <w:tr w:rsidR="00DE12F4" w:rsidTr="00DE12F4">
      <w:tc>
        <w:tcPr>
          <w:tcW w:w="4219" w:type="dxa"/>
          <w:tcBorders>
            <w:bottom w:val="single" w:sz="12" w:space="0" w:color="2E74B5" w:themeColor="accent1" w:themeShade="BF"/>
          </w:tcBorders>
        </w:tcPr>
        <w:p w:rsidR="00DE12F4" w:rsidRPr="00347725" w:rsidRDefault="00BB100B" w:rsidP="00DE12F4">
          <w:pPr>
            <w:spacing w:after="60"/>
            <w:jc w:val="center"/>
            <w:rPr>
              <w:rFonts w:ascii="Book Antiqua" w:hAnsi="Book Antiqua"/>
            </w:rPr>
          </w:pPr>
          <w:r w:rsidRPr="00347725">
            <w:rPr>
              <w:rFonts w:ascii="Book Antiqua" w:hAnsi="Book Antiqua"/>
              <w:b/>
              <w:bCs/>
              <w:sz w:val="20"/>
              <w:szCs w:val="20"/>
            </w:rPr>
            <w:t>Ministère de l’Equipement</w:t>
          </w:r>
          <w:r>
            <w:rPr>
              <w:rFonts w:ascii="Book Antiqua" w:hAnsi="Book Antiqua"/>
              <w:b/>
              <w:bCs/>
              <w:sz w:val="20"/>
              <w:szCs w:val="20"/>
            </w:rPr>
            <w:t xml:space="preserve">, </w:t>
          </w:r>
          <w:r w:rsidRPr="00347725">
            <w:rPr>
              <w:rFonts w:ascii="Book Antiqua" w:hAnsi="Book Antiqua"/>
              <w:b/>
              <w:bCs/>
              <w:sz w:val="20"/>
              <w:szCs w:val="20"/>
            </w:rPr>
            <w:t>du Transport, de la Logistique et de l’Eau</w:t>
          </w:r>
        </w:p>
      </w:tc>
      <w:tc>
        <w:tcPr>
          <w:tcW w:w="2477" w:type="dxa"/>
          <w:vMerge/>
        </w:tcPr>
        <w:p w:rsidR="00DE12F4" w:rsidRPr="00347725" w:rsidRDefault="00AC4D6B" w:rsidP="00DE12F4">
          <w:pPr>
            <w:spacing w:after="60"/>
            <w:jc w:val="center"/>
            <w:rPr>
              <w:rFonts w:ascii="Book Antiqua" w:hAnsi="Book Antiqua"/>
            </w:rPr>
          </w:pPr>
        </w:p>
      </w:tc>
      <w:tc>
        <w:tcPr>
          <w:tcW w:w="4218" w:type="dxa"/>
          <w:tcBorders>
            <w:bottom w:val="single" w:sz="12" w:space="0" w:color="2E74B5" w:themeColor="accent1" w:themeShade="BF"/>
          </w:tcBorders>
          <w:vAlign w:val="center"/>
        </w:tcPr>
        <w:p w:rsidR="00DE12F4" w:rsidRPr="00347725" w:rsidRDefault="00BB100B" w:rsidP="00DE12F4">
          <w:pPr>
            <w:spacing w:after="60"/>
            <w:jc w:val="center"/>
            <w:rPr>
              <w:rFonts w:ascii="Book Antiqua" w:hAnsi="Book Antiqua"/>
              <w:sz w:val="24"/>
              <w:szCs w:val="24"/>
            </w:rPr>
          </w:pPr>
          <w:r w:rsidRPr="00347725">
            <w:rPr>
              <w:rFonts w:ascii="Book Antiqua" w:hAnsi="Book Antiqua"/>
              <w:b/>
              <w:bCs/>
              <w:sz w:val="24"/>
              <w:szCs w:val="24"/>
              <w:rtl/>
            </w:rPr>
            <w:t xml:space="preserve">وزارة التجهيز والنقل </w:t>
          </w:r>
          <w:r w:rsidRPr="00347725">
            <w:rPr>
              <w:rFonts w:ascii="Book Antiqua" w:hAnsi="Book Antiqua"/>
              <w:b/>
              <w:bCs/>
              <w:sz w:val="24"/>
              <w:szCs w:val="24"/>
              <w:rtl/>
            </w:rPr>
            <w:t>واللوج</w:t>
          </w:r>
          <w:r>
            <w:rPr>
              <w:rFonts w:ascii="Book Antiqua" w:hAnsi="Book Antiqua" w:hint="cs"/>
              <w:b/>
              <w:bCs/>
              <w:sz w:val="24"/>
              <w:szCs w:val="24"/>
              <w:rtl/>
            </w:rPr>
            <w:t>ي</w:t>
          </w:r>
          <w:r w:rsidRPr="00347725">
            <w:rPr>
              <w:rFonts w:ascii="Book Antiqua" w:hAnsi="Book Antiqua"/>
              <w:b/>
              <w:bCs/>
              <w:sz w:val="24"/>
              <w:szCs w:val="24"/>
              <w:rtl/>
            </w:rPr>
            <w:t>ستيك والماء</w:t>
          </w:r>
        </w:p>
      </w:tc>
    </w:tr>
    <w:tr w:rsidR="00DE12F4" w:rsidTr="00DE12F4">
      <w:tc>
        <w:tcPr>
          <w:tcW w:w="4219" w:type="dxa"/>
          <w:tcBorders>
            <w:top w:val="single" w:sz="12" w:space="0" w:color="2E74B5" w:themeColor="accent1" w:themeShade="BF"/>
          </w:tcBorders>
        </w:tcPr>
        <w:p w:rsidR="00DE12F4" w:rsidRPr="00347725" w:rsidRDefault="00BB100B" w:rsidP="00DE12F4">
          <w:pPr>
            <w:spacing w:before="40"/>
            <w:jc w:val="center"/>
            <w:rPr>
              <w:rFonts w:ascii="Book Antiqua" w:hAnsi="Book Antiqua" w:cs="Arial"/>
              <w:color w:val="0070C0"/>
              <w:lang w:bidi="ar-MA"/>
            </w:rPr>
          </w:pPr>
          <w:r>
            <w:rPr>
              <w:rFonts w:ascii="Book Antiqua" w:hAnsi="Book Antiqua" w:cstheme="minorHAnsi"/>
              <w:b/>
              <w:bCs/>
              <w:color w:val="1F4E79" w:themeColor="accent1" w:themeShade="80"/>
              <w:sz w:val="20"/>
              <w:szCs w:val="20"/>
            </w:rPr>
            <w:t>Agence Nationale de la Sécurité Routière</w:t>
          </w:r>
        </w:p>
      </w:tc>
      <w:tc>
        <w:tcPr>
          <w:tcW w:w="2477" w:type="dxa"/>
          <w:vMerge/>
        </w:tcPr>
        <w:p w:rsidR="00DE12F4" w:rsidRPr="00347725" w:rsidRDefault="00AC4D6B" w:rsidP="00DE12F4">
          <w:pPr>
            <w:spacing w:before="40"/>
            <w:jc w:val="center"/>
            <w:rPr>
              <w:rFonts w:ascii="Book Antiqua" w:hAnsi="Book Antiqua"/>
            </w:rPr>
          </w:pPr>
        </w:p>
      </w:tc>
      <w:tc>
        <w:tcPr>
          <w:tcW w:w="4218" w:type="dxa"/>
          <w:tcBorders>
            <w:top w:val="single" w:sz="12" w:space="0" w:color="2E74B5" w:themeColor="accent1" w:themeShade="BF"/>
          </w:tcBorders>
        </w:tcPr>
        <w:p w:rsidR="00DE12F4" w:rsidRPr="00347725" w:rsidRDefault="00BB100B" w:rsidP="00DE12F4">
          <w:pPr>
            <w:spacing w:before="40"/>
            <w:jc w:val="center"/>
            <w:rPr>
              <w:rFonts w:ascii="Book Antiqua" w:hAnsi="Book Antiqua" w:cstheme="minorHAnsi"/>
              <w:b/>
              <w:bCs/>
              <w:color w:val="1F4E79" w:themeColor="accent1" w:themeShade="80"/>
              <w:sz w:val="24"/>
              <w:szCs w:val="24"/>
            </w:rPr>
          </w:pPr>
          <w:r>
            <w:rPr>
              <w:rFonts w:ascii="Book Antiqua" w:hAnsi="Book Antiqua" w:cs="Times New Roman" w:hint="cs"/>
              <w:b/>
              <w:bCs/>
              <w:color w:val="1F4E79" w:themeColor="accent1" w:themeShade="80"/>
              <w:sz w:val="24"/>
              <w:szCs w:val="24"/>
              <w:rtl/>
            </w:rPr>
            <w:t>الوكالة الوطنية للسلامة الطرقية</w:t>
          </w:r>
        </w:p>
      </w:tc>
    </w:tr>
  </w:tbl>
  <w:p w:rsidR="008342F9" w:rsidRDefault="00AC4D6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B0"/>
    <w:rsid w:val="000C3473"/>
    <w:rsid w:val="004A1DBC"/>
    <w:rsid w:val="006A39B0"/>
    <w:rsid w:val="00906911"/>
    <w:rsid w:val="0098088A"/>
    <w:rsid w:val="00A86901"/>
    <w:rsid w:val="00AC4D6B"/>
    <w:rsid w:val="00B26C16"/>
    <w:rsid w:val="00BB100B"/>
    <w:rsid w:val="00E07E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7EBB1-4D4B-41FF-8980-44DDBEC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B0"/>
  </w:style>
  <w:style w:type="paragraph" w:styleId="Titre1">
    <w:name w:val="heading 1"/>
    <w:basedOn w:val="Normal"/>
    <w:next w:val="Normal"/>
    <w:link w:val="Titre1Car"/>
    <w:qFormat/>
    <w:rsid w:val="006A39B0"/>
    <w:pPr>
      <w:keepNext/>
      <w:spacing w:after="0" w:line="240" w:lineRule="auto"/>
      <w:jc w:val="both"/>
      <w:outlineLvl w:val="0"/>
    </w:pPr>
    <w:rPr>
      <w:rFonts w:ascii="Times New Roman" w:eastAsia="Times New Roman" w:hAnsi="Times New Roman" w:cs="Traditional Arabic"/>
      <w:noProof/>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39B0"/>
    <w:pPr>
      <w:tabs>
        <w:tab w:val="center" w:pos="4536"/>
        <w:tab w:val="right" w:pos="9072"/>
      </w:tabs>
      <w:spacing w:after="0" w:line="240" w:lineRule="auto"/>
    </w:pPr>
  </w:style>
  <w:style w:type="character" w:customStyle="1" w:styleId="En-tteCar">
    <w:name w:val="En-tête Car"/>
    <w:basedOn w:val="Policepardfaut"/>
    <w:link w:val="En-tte"/>
    <w:uiPriority w:val="99"/>
    <w:rsid w:val="006A39B0"/>
  </w:style>
  <w:style w:type="paragraph" w:styleId="Pieddepage">
    <w:name w:val="footer"/>
    <w:basedOn w:val="Normal"/>
    <w:link w:val="PieddepageCar"/>
    <w:uiPriority w:val="99"/>
    <w:unhideWhenUsed/>
    <w:rsid w:val="006A3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39B0"/>
  </w:style>
  <w:style w:type="table" w:styleId="Grilledutableau">
    <w:name w:val="Table Grid"/>
    <w:basedOn w:val="TableauNormal"/>
    <w:uiPriority w:val="39"/>
    <w:rsid w:val="006A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6A39B0"/>
    <w:rPr>
      <w:rFonts w:ascii="Times New Roman" w:eastAsia="Times New Roman" w:hAnsi="Times New Roman" w:cs="Traditional Arabic"/>
      <w:noProof/>
      <w:sz w:val="26"/>
      <w:szCs w:val="26"/>
      <w:lang w:eastAsia="fr-FR"/>
    </w:rPr>
  </w:style>
  <w:style w:type="paragraph" w:styleId="Textedebulles">
    <w:name w:val="Balloon Text"/>
    <w:basedOn w:val="Normal"/>
    <w:link w:val="TextedebullesCar"/>
    <w:uiPriority w:val="99"/>
    <w:semiHidden/>
    <w:unhideWhenUsed/>
    <w:rsid w:val="00A869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6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invité</cp:lastModifiedBy>
  <cp:revision>2</cp:revision>
  <cp:lastPrinted>2021-06-17T10:50:00Z</cp:lastPrinted>
  <dcterms:created xsi:type="dcterms:W3CDTF">2021-06-17T22:27:00Z</dcterms:created>
  <dcterms:modified xsi:type="dcterms:W3CDTF">2021-06-17T22:27:00Z</dcterms:modified>
</cp:coreProperties>
</file>